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Style w:val="13"/>
          <w:rFonts w:ascii="仿宋" w:hAnsi="仿宋" w:eastAsia="仿宋"/>
          <w:b w:val="0"/>
          <w:sz w:val="36"/>
          <w:szCs w:val="36"/>
        </w:rPr>
      </w:pPr>
      <w:r>
        <w:rPr>
          <w:rStyle w:val="13"/>
          <w:rFonts w:hint="eastAsia" w:ascii="仿宋" w:hAnsi="仿宋" w:eastAsia="仿宋"/>
          <w:sz w:val="36"/>
          <w:szCs w:val="36"/>
        </w:rPr>
        <w:t>体育教育训练学院党政联席会议议事规则</w:t>
      </w:r>
    </w:p>
    <w:p>
      <w:pPr>
        <w:tabs>
          <w:tab w:val="left" w:pos="0"/>
        </w:tabs>
        <w:spacing w:line="480" w:lineRule="exact"/>
        <w:jc w:val="center"/>
        <w:rPr>
          <w:rFonts w:hint="eastAsia" w:ascii="仿宋" w:hAnsi="仿宋" w:eastAsia="仿宋" w:cs="黑体"/>
          <w:b/>
          <w:sz w:val="22"/>
          <w:szCs w:val="22"/>
          <w:lang w:val="en-US" w:eastAsia="zh-CN"/>
        </w:rPr>
      </w:pPr>
      <w:r>
        <w:rPr>
          <w:rFonts w:hint="eastAsia" w:ascii="仿宋" w:hAnsi="仿宋" w:eastAsia="仿宋" w:cs="黑体"/>
          <w:b/>
          <w:sz w:val="22"/>
          <w:szCs w:val="22"/>
          <w:lang w:eastAsia="zh-CN"/>
        </w:rPr>
        <w:t>首体院体训党字</w:t>
      </w:r>
      <w:r>
        <w:rPr>
          <w:rFonts w:hint="eastAsia" w:ascii="仿宋" w:hAnsi="仿宋" w:eastAsia="仿宋" w:cs="黑体"/>
          <w:b/>
          <w:sz w:val="22"/>
          <w:szCs w:val="22"/>
          <w:lang w:val="en-US" w:eastAsia="zh-CN"/>
        </w:rPr>
        <w:t>[2020]2号</w:t>
      </w:r>
      <w:bookmarkStart w:id="0" w:name="_GoBack"/>
    </w:p>
    <w:bookmarkEnd w:id="0"/>
    <w:p>
      <w:pPr>
        <w:tabs>
          <w:tab w:val="left" w:pos="0"/>
        </w:tabs>
        <w:spacing w:line="480" w:lineRule="exact"/>
        <w:jc w:val="center"/>
        <w:rPr>
          <w:rFonts w:hint="eastAsia" w:ascii="仿宋" w:hAnsi="仿宋" w:eastAsia="仿宋" w:cs="黑体"/>
          <w:b/>
          <w:sz w:val="32"/>
          <w:szCs w:val="32"/>
        </w:rPr>
      </w:pPr>
    </w:p>
    <w:p>
      <w:pPr>
        <w:tabs>
          <w:tab w:val="left" w:pos="0"/>
        </w:tabs>
        <w:spacing w:line="480" w:lineRule="exact"/>
        <w:jc w:val="center"/>
        <w:rPr>
          <w:rFonts w:ascii="仿宋" w:hAnsi="仿宋" w:eastAsia="仿宋"/>
          <w:b/>
          <w:sz w:val="32"/>
          <w:szCs w:val="32"/>
        </w:rPr>
      </w:pPr>
      <w:r>
        <w:rPr>
          <w:rFonts w:hint="eastAsia" w:ascii="仿宋" w:hAnsi="仿宋" w:eastAsia="仿宋" w:cs="黑体"/>
          <w:b/>
          <w:sz w:val="32"/>
          <w:szCs w:val="32"/>
        </w:rPr>
        <w:t>第一章  总  则</w:t>
      </w:r>
    </w:p>
    <w:p>
      <w:pPr>
        <w:spacing w:line="480" w:lineRule="exact"/>
        <w:jc w:val="center"/>
        <w:rPr>
          <w:rStyle w:val="13"/>
          <w:rFonts w:ascii="仿宋" w:hAnsi="仿宋" w:eastAsia="仿宋"/>
          <w:sz w:val="32"/>
          <w:szCs w:val="32"/>
        </w:rPr>
      </w:pP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第一条  </w:t>
      </w:r>
      <w:r>
        <w:rPr>
          <w:rFonts w:hint="eastAsia" w:ascii="仿宋" w:hAnsi="仿宋" w:eastAsia="仿宋"/>
          <w:color w:val="000000" w:themeColor="text1"/>
          <w:sz w:val="32"/>
          <w:szCs w:val="32"/>
          <w14:textFill>
            <w14:solidFill>
              <w14:schemeClr w14:val="tx1"/>
            </w14:solidFill>
          </w14:textFill>
        </w:rPr>
        <w:t>为深入贯彻落实习近平新时代中国特色社会主义思想和党的十九大精神，深入贯彻落实全国和北京市高校思想政治工作会议精神，</w:t>
      </w:r>
      <w:r>
        <w:rPr>
          <w:rFonts w:hint="eastAsia" w:ascii="仿宋" w:hAnsi="仿宋" w:eastAsia="仿宋"/>
          <w:sz w:val="32"/>
          <w:szCs w:val="32"/>
        </w:rPr>
        <w:t>进一步规范和完善学院党政联席会议事程序，增强决策民主化、科学化水平，根据</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中共首都体育学院委员会关于坚持和完善院级党政联席会议制度的实施意见（试行）</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sz w:val="32"/>
          <w:szCs w:val="32"/>
        </w:rPr>
        <w:t>，特制定本议事规则。</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第二条  党政联席会议是学院重要事项的决策机构。学院的</w:t>
      </w:r>
      <w:r>
        <w:rPr>
          <w:rFonts w:ascii="仿宋" w:hAnsi="仿宋" w:eastAsia="仿宋"/>
          <w:color w:val="000000" w:themeColor="text1"/>
          <w:sz w:val="32"/>
          <w:szCs w:val="32"/>
          <w14:textFill>
            <w14:solidFill>
              <w14:schemeClr w14:val="tx1"/>
            </w14:solidFill>
          </w14:textFill>
        </w:rPr>
        <w:t>重大决策事项</w:t>
      </w:r>
      <w:r>
        <w:rPr>
          <w:rFonts w:hint="eastAsia" w:ascii="仿宋" w:hAnsi="仿宋" w:eastAsia="仿宋"/>
          <w:sz w:val="32"/>
          <w:szCs w:val="32"/>
        </w:rPr>
        <w:t>和重要工作须由党政联席会议研究决定，并责成相关人员执行。</w:t>
      </w:r>
    </w:p>
    <w:p>
      <w:pPr>
        <w:spacing w:line="480" w:lineRule="exact"/>
        <w:ind w:firstLine="640" w:firstLineChars="200"/>
        <w:jc w:val="left"/>
        <w:rPr>
          <w:rFonts w:ascii="仿宋" w:hAnsi="仿宋" w:eastAsia="仿宋"/>
          <w:sz w:val="32"/>
          <w:szCs w:val="32"/>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第二章  议事范围</w:t>
      </w:r>
    </w:p>
    <w:p>
      <w:pPr>
        <w:spacing w:line="48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 xml:space="preserve">第三条  </w:t>
      </w:r>
      <w:r>
        <w:rPr>
          <w:rFonts w:hint="eastAsia" w:ascii="仿宋" w:hAnsi="仿宋" w:eastAsia="仿宋"/>
          <w:sz w:val="32"/>
          <w:szCs w:val="32"/>
        </w:rPr>
        <w:t>讨论决定</w:t>
      </w:r>
      <w:r>
        <w:rPr>
          <w:rFonts w:hint="eastAsia" w:ascii="仿宋" w:hAnsi="仿宋" w:eastAsia="仿宋"/>
          <w:sz w:val="32"/>
          <w:szCs w:val="32"/>
          <w:lang w:eastAsia="zh-CN"/>
        </w:rPr>
        <w:t>学院</w:t>
      </w:r>
      <w:r>
        <w:rPr>
          <w:rFonts w:hint="eastAsia" w:ascii="仿宋" w:hAnsi="仿宋" w:eastAsia="仿宋"/>
          <w:sz w:val="32"/>
          <w:szCs w:val="32"/>
        </w:rPr>
        <w:t>贯彻落实党的路线方针政策及上级有关决定的重要措施。</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第四条  落实学校党委和行政决定、决议的重要措施</w:t>
      </w:r>
      <w:r>
        <w:rPr>
          <w:rFonts w:hint="eastAsia" w:ascii="仿宋" w:hAnsi="仿宋" w:eastAsia="仿宋"/>
          <w:sz w:val="32"/>
          <w:szCs w:val="32"/>
          <w:lang w:eastAsia="zh-CN"/>
        </w:rPr>
        <w:t>。</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第五条  讨论决定学院发展规划、年度工作计划和总结、重要改革措施、重要规章制度等。</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第六条</w:t>
      </w:r>
      <w:r>
        <w:rPr>
          <w:rFonts w:hint="eastAsia" w:ascii="仿宋" w:hAnsi="仿宋" w:eastAsia="仿宋"/>
          <w:sz w:val="32"/>
          <w:szCs w:val="32"/>
          <w:lang w:val="en-US" w:eastAsia="zh-CN"/>
        </w:rPr>
        <w:t xml:space="preserve">  </w:t>
      </w:r>
      <w:r>
        <w:rPr>
          <w:rFonts w:hint="eastAsia" w:ascii="仿宋" w:hAnsi="仿宋" w:eastAsia="仿宋"/>
          <w:sz w:val="32"/>
          <w:szCs w:val="32"/>
        </w:rPr>
        <w:t>讨论决定</w:t>
      </w:r>
      <w:r>
        <w:rPr>
          <w:rFonts w:hint="eastAsia" w:ascii="仿宋" w:hAnsi="仿宋" w:eastAsia="仿宋"/>
          <w:sz w:val="32"/>
          <w:szCs w:val="32"/>
          <w:lang w:eastAsia="zh-CN"/>
        </w:rPr>
        <w:t>学院</w:t>
      </w:r>
      <w:r>
        <w:rPr>
          <w:rFonts w:hint="eastAsia" w:ascii="仿宋" w:hAnsi="仿宋" w:eastAsia="仿宋"/>
          <w:sz w:val="32"/>
          <w:szCs w:val="32"/>
        </w:rPr>
        <w:t>人才培养、学科建设、教学科研、教师队伍建设、对外交流与合作等方面的重要事项。</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第七条  讨论决定</w:t>
      </w:r>
      <w:r>
        <w:rPr>
          <w:rFonts w:hint="eastAsia" w:ascii="仿宋" w:hAnsi="仿宋" w:eastAsia="仿宋"/>
          <w:sz w:val="32"/>
          <w:szCs w:val="32"/>
          <w:lang w:eastAsia="zh-CN"/>
        </w:rPr>
        <w:t>学院</w:t>
      </w:r>
      <w:r>
        <w:rPr>
          <w:rFonts w:hint="eastAsia" w:ascii="仿宋" w:hAnsi="仿宋" w:eastAsia="仿宋"/>
          <w:sz w:val="32"/>
          <w:szCs w:val="32"/>
        </w:rPr>
        <w:t>内部组织机构和岗位设置及调整，教职工聘用、管理、晋职晋级、评奖评优等方面的重要事项；学术委员会等学术组织的组建、换届等重要事项。</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第八条  讨论决定</w:t>
      </w:r>
      <w:r>
        <w:rPr>
          <w:rFonts w:hint="eastAsia" w:ascii="仿宋" w:hAnsi="仿宋" w:eastAsia="仿宋"/>
          <w:sz w:val="32"/>
          <w:szCs w:val="32"/>
          <w:lang w:eastAsia="zh-CN"/>
        </w:rPr>
        <w:t>学院</w:t>
      </w:r>
      <w:r>
        <w:rPr>
          <w:rFonts w:hint="eastAsia" w:ascii="仿宋" w:hAnsi="仿宋" w:eastAsia="仿宋"/>
          <w:sz w:val="32"/>
          <w:szCs w:val="32"/>
        </w:rPr>
        <w:t>年度财务预决算的制订和调整；部门预算内单项支出2万元 (含) 以上</w:t>
      </w:r>
      <w:r>
        <w:rPr>
          <w:rFonts w:hint="eastAsia" w:ascii="仿宋" w:hAnsi="仿宋" w:eastAsia="仿宋"/>
          <w:sz w:val="32"/>
          <w:szCs w:val="32"/>
          <w:lang w:val="en-US" w:eastAsia="zh-CN"/>
        </w:rPr>
        <w:t>大额</w:t>
      </w:r>
      <w:r>
        <w:rPr>
          <w:rFonts w:hint="eastAsia" w:ascii="仿宋" w:hAnsi="仿宋" w:eastAsia="仿宋"/>
          <w:sz w:val="32"/>
          <w:szCs w:val="32"/>
        </w:rPr>
        <w:t>资金的使用</w:t>
      </w:r>
      <w:r>
        <w:rPr>
          <w:rFonts w:hint="eastAsia" w:ascii="仿宋" w:hAnsi="仿宋" w:eastAsia="仿宋"/>
          <w:sz w:val="32"/>
          <w:szCs w:val="32"/>
          <w:lang w:eastAsia="zh-CN"/>
        </w:rPr>
        <w:t>；</w:t>
      </w:r>
      <w:r>
        <w:rPr>
          <w:rFonts w:hint="eastAsia" w:ascii="仿宋" w:hAnsi="仿宋" w:eastAsia="仿宋"/>
          <w:sz w:val="32"/>
          <w:szCs w:val="32"/>
        </w:rPr>
        <w:t>未列入部门年度预算的追加预算和支出；讨论决定</w:t>
      </w:r>
      <w:r>
        <w:rPr>
          <w:rFonts w:hint="eastAsia" w:ascii="仿宋" w:hAnsi="仿宋" w:eastAsia="仿宋"/>
          <w:sz w:val="32"/>
          <w:szCs w:val="32"/>
          <w:lang w:eastAsia="zh-CN"/>
        </w:rPr>
        <w:t>学院</w:t>
      </w:r>
      <w:r>
        <w:rPr>
          <w:rFonts w:hint="eastAsia" w:ascii="仿宋" w:hAnsi="仿宋" w:eastAsia="仿宋"/>
          <w:sz w:val="32"/>
          <w:szCs w:val="32"/>
        </w:rPr>
        <w:t>单项或批量预算金额在5万元（含）以上的设备和物资采购或购买服务</w:t>
      </w:r>
      <w:r>
        <w:rPr>
          <w:rFonts w:hint="eastAsia" w:ascii="仿宋" w:hAnsi="仿宋" w:eastAsia="仿宋"/>
          <w:sz w:val="32"/>
          <w:szCs w:val="32"/>
          <w:lang w:eastAsia="zh-CN"/>
        </w:rPr>
        <w:t>的</w:t>
      </w:r>
      <w:r>
        <w:rPr>
          <w:rFonts w:hint="eastAsia" w:ascii="仿宋" w:hAnsi="仿宋" w:eastAsia="仿宋"/>
          <w:sz w:val="32"/>
          <w:szCs w:val="32"/>
        </w:rPr>
        <w:t>重要项目；奖酬金发放。</w:t>
      </w:r>
    </w:p>
    <w:p>
      <w:pPr>
        <w:spacing w:line="48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 xml:space="preserve">第九条  </w:t>
      </w:r>
      <w:r>
        <w:rPr>
          <w:rFonts w:hint="eastAsia" w:ascii="仿宋" w:hAnsi="仿宋" w:eastAsia="仿宋"/>
          <w:sz w:val="32"/>
          <w:szCs w:val="32"/>
          <w:lang w:eastAsia="zh-CN"/>
        </w:rPr>
        <w:t>研究学院</w:t>
      </w:r>
      <w:r>
        <w:rPr>
          <w:rFonts w:hint="eastAsia" w:ascii="仿宋" w:hAnsi="仿宋" w:eastAsia="仿宋" w:cs="Times New Roman"/>
          <w:sz w:val="32"/>
          <w:szCs w:val="32"/>
        </w:rPr>
        <w:t>重要资产处置和资源配置</w:t>
      </w:r>
      <w:r>
        <w:rPr>
          <w:rFonts w:hint="eastAsia" w:ascii="仿宋" w:hAnsi="仿宋" w:eastAsia="仿宋" w:cs="Times New Roman"/>
          <w:sz w:val="32"/>
          <w:szCs w:val="32"/>
          <w:lang w:val="en-US" w:eastAsia="zh-CN"/>
        </w:rPr>
        <w:t>。</w:t>
      </w:r>
    </w:p>
    <w:p>
      <w:pPr>
        <w:spacing w:line="48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 xml:space="preserve">第十条  </w:t>
      </w:r>
      <w:r>
        <w:rPr>
          <w:rFonts w:hint="eastAsia" w:ascii="仿宋" w:hAnsi="仿宋" w:eastAsia="仿宋"/>
          <w:sz w:val="32"/>
          <w:szCs w:val="32"/>
          <w:lang w:eastAsia="zh-CN"/>
        </w:rPr>
        <w:t>研究学院学生教育管理、奖励处分、专业招生、毕业生就业、优秀学生推荐以及相关重要事项。</w:t>
      </w:r>
    </w:p>
    <w:p>
      <w:pPr>
        <w:spacing w:line="48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 xml:space="preserve">第十一条  </w:t>
      </w:r>
      <w:r>
        <w:rPr>
          <w:rFonts w:hint="eastAsia" w:ascii="仿宋" w:hAnsi="仿宋" w:eastAsia="仿宋"/>
          <w:sz w:val="32"/>
          <w:szCs w:val="32"/>
          <w:lang w:eastAsia="zh-CN"/>
        </w:rPr>
        <w:t>研究决定受学院表彰或处罚和学校要求学院审核或推荐的教学、科研、管理等重要奖励的集体和个人名单。</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第十二条  讨论决定</w:t>
      </w:r>
      <w:r>
        <w:rPr>
          <w:rFonts w:hint="eastAsia" w:ascii="仿宋" w:hAnsi="仿宋" w:eastAsia="仿宋"/>
          <w:sz w:val="32"/>
          <w:szCs w:val="32"/>
          <w:lang w:eastAsia="zh-CN"/>
        </w:rPr>
        <w:t>学院</w:t>
      </w:r>
      <w:r>
        <w:rPr>
          <w:rFonts w:hint="eastAsia" w:ascii="仿宋" w:hAnsi="仿宋" w:eastAsia="仿宋"/>
          <w:sz w:val="32"/>
          <w:szCs w:val="32"/>
        </w:rPr>
        <w:t>思想政治工作</w:t>
      </w:r>
      <w:r>
        <w:rPr>
          <w:rFonts w:hint="eastAsia" w:ascii="仿宋" w:hAnsi="仿宋" w:eastAsia="仿宋"/>
          <w:sz w:val="32"/>
          <w:szCs w:val="32"/>
          <w:lang w:eastAsia="zh-CN"/>
        </w:rPr>
        <w:t>、</w:t>
      </w:r>
      <w:r>
        <w:rPr>
          <w:rFonts w:hint="eastAsia" w:ascii="仿宋" w:hAnsi="仿宋" w:eastAsia="仿宋"/>
          <w:sz w:val="32"/>
          <w:szCs w:val="32"/>
        </w:rPr>
        <w:t>意识形态工作、党风廉政建设工作、安全稳定工作等重要事项和重大突发事件处置。</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第十三条</w:t>
      </w:r>
      <w:r>
        <w:rPr>
          <w:rFonts w:hint="eastAsia" w:ascii="仿宋" w:hAnsi="仿宋" w:eastAsia="仿宋"/>
          <w:sz w:val="32"/>
          <w:szCs w:val="32"/>
          <w:lang w:val="en-US" w:eastAsia="zh-CN"/>
        </w:rPr>
        <w:t xml:space="preserve">  </w:t>
      </w:r>
      <w:r>
        <w:rPr>
          <w:rFonts w:hint="eastAsia" w:ascii="仿宋" w:hAnsi="仿宋" w:eastAsia="仿宋"/>
          <w:sz w:val="32"/>
          <w:szCs w:val="32"/>
        </w:rPr>
        <w:t>讨论决定学院改革发展稳定</w:t>
      </w:r>
      <w:r>
        <w:rPr>
          <w:rFonts w:hint="eastAsia" w:ascii="仿宋" w:hAnsi="仿宋" w:eastAsia="仿宋"/>
          <w:sz w:val="32"/>
          <w:szCs w:val="32"/>
          <w:lang w:eastAsia="zh-CN"/>
        </w:rPr>
        <w:t>，</w:t>
      </w:r>
      <w:r>
        <w:rPr>
          <w:rFonts w:hint="eastAsia" w:ascii="仿宋" w:hAnsi="仿宋" w:eastAsia="仿宋"/>
          <w:sz w:val="32"/>
          <w:szCs w:val="32"/>
        </w:rPr>
        <w:t>绩效工资分配等涉及师生员工切身利益的其他重要事项。</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第十四条</w:t>
      </w:r>
      <w:r>
        <w:rPr>
          <w:rFonts w:hint="eastAsia" w:ascii="仿宋" w:hAnsi="仿宋" w:eastAsia="仿宋"/>
          <w:sz w:val="32"/>
          <w:szCs w:val="32"/>
          <w:lang w:val="en-US" w:eastAsia="zh-CN"/>
        </w:rPr>
        <w:t xml:space="preserve">  </w:t>
      </w:r>
      <w:r>
        <w:rPr>
          <w:rFonts w:hint="eastAsia" w:ascii="仿宋" w:hAnsi="仿宋" w:eastAsia="仿宋"/>
          <w:sz w:val="32"/>
          <w:szCs w:val="32"/>
        </w:rPr>
        <w:t>讨论决定</w:t>
      </w:r>
      <w:r>
        <w:rPr>
          <w:rFonts w:hint="eastAsia" w:ascii="仿宋" w:hAnsi="仿宋" w:eastAsia="仿宋"/>
          <w:sz w:val="32"/>
          <w:szCs w:val="32"/>
          <w:lang w:eastAsia="zh-CN"/>
        </w:rPr>
        <w:t>学院人才引进、人员调进调离、教职工外出（进修、攻读学位、出国出境）、</w:t>
      </w:r>
      <w:r>
        <w:rPr>
          <w:rFonts w:hint="eastAsia" w:ascii="仿宋" w:hAnsi="仿宋" w:eastAsia="仿宋"/>
          <w:sz w:val="32"/>
          <w:szCs w:val="32"/>
        </w:rPr>
        <w:t>课程建设、教材选用、学术活动等工作中的</w:t>
      </w:r>
      <w:r>
        <w:rPr>
          <w:rFonts w:hint="eastAsia" w:ascii="仿宋" w:hAnsi="仿宋" w:eastAsia="仿宋"/>
          <w:sz w:val="32"/>
          <w:szCs w:val="32"/>
          <w:lang w:eastAsia="zh-CN"/>
        </w:rPr>
        <w:t>重要事项。</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第十五条</w:t>
      </w:r>
      <w:r>
        <w:rPr>
          <w:rFonts w:hint="eastAsia" w:ascii="仿宋" w:hAnsi="仿宋" w:eastAsia="仿宋"/>
          <w:sz w:val="32"/>
          <w:szCs w:val="32"/>
          <w:lang w:val="en-US" w:eastAsia="zh-CN"/>
        </w:rPr>
        <w:t xml:space="preserve">  </w:t>
      </w:r>
      <w:r>
        <w:rPr>
          <w:rFonts w:hint="eastAsia" w:ascii="仿宋" w:hAnsi="仿宋" w:eastAsia="仿宋"/>
          <w:sz w:val="32"/>
          <w:szCs w:val="32"/>
        </w:rPr>
        <w:t>通报</w:t>
      </w:r>
      <w:r>
        <w:rPr>
          <w:rFonts w:hint="eastAsia" w:ascii="仿宋" w:hAnsi="仿宋" w:eastAsia="仿宋"/>
          <w:sz w:val="32"/>
          <w:szCs w:val="32"/>
          <w:lang w:eastAsia="zh-CN"/>
        </w:rPr>
        <w:t>学院</w:t>
      </w:r>
      <w:r>
        <w:rPr>
          <w:rFonts w:hint="eastAsia" w:ascii="仿宋" w:hAnsi="仿宋" w:eastAsia="仿宋"/>
          <w:sz w:val="32"/>
          <w:szCs w:val="32"/>
        </w:rPr>
        <w:t>党组织会议研究决定的党的建设重要事项。</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第十六条</w:t>
      </w:r>
      <w:r>
        <w:rPr>
          <w:rFonts w:hint="eastAsia" w:ascii="仿宋" w:hAnsi="仿宋" w:eastAsia="仿宋"/>
          <w:sz w:val="32"/>
          <w:szCs w:val="32"/>
          <w:lang w:val="en-US" w:eastAsia="zh-CN"/>
        </w:rPr>
        <w:t xml:space="preserve">  </w:t>
      </w:r>
      <w:r>
        <w:rPr>
          <w:rFonts w:hint="eastAsia" w:ascii="仿宋" w:hAnsi="仿宋" w:eastAsia="仿宋"/>
          <w:sz w:val="32"/>
          <w:szCs w:val="32"/>
        </w:rPr>
        <w:t>研究决定其他需要党政联席会议研究决定的事项。</w:t>
      </w:r>
    </w:p>
    <w:p>
      <w:pPr>
        <w:spacing w:line="480" w:lineRule="exact"/>
        <w:ind w:firstLine="640" w:firstLineChars="200"/>
        <w:jc w:val="left"/>
        <w:rPr>
          <w:rFonts w:ascii="仿宋" w:hAnsi="仿宋" w:eastAsia="仿宋"/>
          <w:sz w:val="32"/>
          <w:szCs w:val="32"/>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第三章 会议组织</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条  党政联席会议的组成人员一般包括学院党委书记、副书记，院长、副院长。会议的列席人员由学院党委书记和院长根据工作需要和议题共同研究确定。</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八</w:t>
      </w:r>
      <w:r>
        <w:rPr>
          <w:rFonts w:hint="eastAsia" w:ascii="仿宋" w:hAnsi="仿宋" w:eastAsia="仿宋"/>
          <w:color w:val="000000" w:themeColor="text1"/>
          <w:sz w:val="32"/>
          <w:szCs w:val="32"/>
          <w14:textFill>
            <w14:solidFill>
              <w14:schemeClr w14:val="tx1"/>
            </w14:solidFill>
          </w14:textFill>
        </w:rPr>
        <w:t>条  党政联席会议一般应在党政主要负责人同时到会时方能召开，</w:t>
      </w:r>
      <w:r>
        <w:rPr>
          <w:rFonts w:hint="eastAsia" w:ascii="仿宋_GB2312" w:hAnsi="宋体" w:eastAsia="仿宋_GB2312"/>
          <w:kern w:val="0"/>
          <w:sz w:val="32"/>
          <w:szCs w:val="32"/>
        </w:rPr>
        <w:t>会议必须有半数以上成员到会方可召开，讨论决定重大事项时，应有三分之二以上成员到会方可召开。</w:t>
      </w:r>
      <w:r>
        <w:rPr>
          <w:rFonts w:hint="eastAsia" w:ascii="仿宋" w:hAnsi="仿宋" w:eastAsia="仿宋"/>
          <w:color w:val="000000" w:themeColor="text1"/>
          <w:sz w:val="32"/>
          <w:szCs w:val="32"/>
          <w14:textFill>
            <w14:solidFill>
              <w14:schemeClr w14:val="tx1"/>
            </w14:solidFill>
          </w14:textFill>
        </w:rPr>
        <w:t>因故不能出席会议的人员，需向主持人请假。</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w:t>
      </w:r>
      <w:r>
        <w:rPr>
          <w:rFonts w:hint="eastAsia" w:ascii="仿宋" w:hAnsi="仿宋" w:eastAsia="仿宋"/>
          <w:color w:val="000000" w:themeColor="text1"/>
          <w:sz w:val="32"/>
          <w:szCs w:val="32"/>
          <w:lang w:eastAsia="zh-CN"/>
          <w14:textFill>
            <w14:solidFill>
              <w14:schemeClr w14:val="tx1"/>
            </w14:solidFill>
          </w14:textFill>
        </w:rPr>
        <w:t>九</w:t>
      </w:r>
      <w:r>
        <w:rPr>
          <w:rFonts w:hint="eastAsia" w:ascii="仿宋" w:hAnsi="仿宋" w:eastAsia="仿宋"/>
          <w:color w:val="000000" w:themeColor="text1"/>
          <w:sz w:val="32"/>
          <w:szCs w:val="32"/>
          <w14:textFill>
            <w14:solidFill>
              <w14:schemeClr w14:val="tx1"/>
            </w14:solidFill>
          </w14:textFill>
        </w:rPr>
        <w:t>条  党政联席会议议题由学院党委书记和院长共同研究确定，会议一般由党委书记主持。学院办公室主任要将会议议题提前告知与会人员。学院办公室主任列席党政联席会议，并协助会议主持人做好会议的准备工作，负责会议记录。</w:t>
      </w:r>
    </w:p>
    <w:p>
      <w:pPr>
        <w:spacing w:line="48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十条  党政联席会议一般每两周举行一次，根据工作需要也可随时召开。</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第四章 议事程序</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十</w:t>
      </w:r>
      <w:r>
        <w:rPr>
          <w:rFonts w:hint="eastAsia" w:ascii="仿宋" w:hAnsi="仿宋" w:eastAsia="仿宋"/>
          <w:color w:val="000000" w:themeColor="text1"/>
          <w:sz w:val="32"/>
          <w:szCs w:val="32"/>
          <w:lang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条  党政联席会议要坚持科学决策、民主决策、依法决策，实行民主集中制，坚持集体领导、民主集中、个别酝酿、会议决定的原则，</w:t>
      </w:r>
      <w:r>
        <w:rPr>
          <w:rFonts w:hint="eastAsia" w:ascii="仿宋_GB2312" w:hAnsi="宋体" w:eastAsia="仿宋_GB2312"/>
          <w:kern w:val="0"/>
          <w:sz w:val="32"/>
          <w:szCs w:val="32"/>
        </w:rPr>
        <w:t>参加人员要逐一发言并有明确表态，党政主要负责人要末位表态</w:t>
      </w:r>
      <w:r>
        <w:rPr>
          <w:rFonts w:hint="eastAsia" w:ascii="仿宋" w:hAnsi="仿宋" w:eastAsia="仿宋"/>
          <w:color w:val="000000" w:themeColor="text1"/>
          <w:sz w:val="32"/>
          <w:szCs w:val="32"/>
          <w14:textFill>
            <w14:solidFill>
              <w14:schemeClr w14:val="tx1"/>
            </w14:solidFill>
          </w14:textFill>
        </w:rPr>
        <w:t>。</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十</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 xml:space="preserve">条  </w:t>
      </w:r>
      <w:r>
        <w:rPr>
          <w:rFonts w:hint="eastAsia" w:ascii="仿宋_GB2312" w:hAnsi="宋体" w:eastAsia="仿宋_GB2312"/>
          <w:kern w:val="0"/>
          <w:sz w:val="32"/>
          <w:szCs w:val="32"/>
        </w:rPr>
        <w:t>需要决策的重要议题，应在调查研究的基础上提出建议方案。对专业性、技术性较强的重要事项，应经过专家评估及技术、政策、法律咨询。对事关师生员工切身利益的重要事项，应广泛听取师生员工的意见建议。</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十</w:t>
      </w: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条  党政联席会议研究讨论议题时，应一事一议，由提出议题人员作简要说明，会议一般不临时提出议题。出席会议人员要充分发扬民主，各抒己见，集思广益，充分发表意见。</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w:t>
      </w: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条  在决定事项时，应严格执行少数服从多数的原则，以超过应到会人数的半数同意为通过。</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w:t>
      </w:r>
      <w:r>
        <w:rPr>
          <w:rFonts w:hint="eastAsia" w:ascii="仿宋" w:hAnsi="仿宋" w:eastAsia="仿宋"/>
          <w:color w:val="000000" w:themeColor="text1"/>
          <w:sz w:val="32"/>
          <w:szCs w:val="32"/>
          <w:lang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条  对存在较大意见分歧的议题，由会议主持人根据实际情况提出暂缓决定的意见。</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w:t>
      </w:r>
      <w:r>
        <w:rPr>
          <w:rFonts w:hint="eastAsia" w:ascii="仿宋" w:hAnsi="仿宋" w:eastAsia="仿宋"/>
          <w:color w:val="000000" w:themeColor="text1"/>
          <w:sz w:val="32"/>
          <w:szCs w:val="32"/>
          <w:lang w:eastAsia="zh-CN"/>
          <w14:textFill>
            <w14:solidFill>
              <w14:schemeClr w14:val="tx1"/>
            </w14:solidFill>
          </w14:textFill>
        </w:rPr>
        <w:t>六</w:t>
      </w:r>
      <w:r>
        <w:rPr>
          <w:rFonts w:hint="eastAsia" w:ascii="仿宋" w:hAnsi="仿宋" w:eastAsia="仿宋"/>
          <w:color w:val="000000" w:themeColor="text1"/>
          <w:sz w:val="32"/>
          <w:szCs w:val="32"/>
          <w14:textFill>
            <w14:solidFill>
              <w14:schemeClr w14:val="tx1"/>
            </w14:solidFill>
          </w14:textFill>
        </w:rPr>
        <w:t>条  凡涉及与会成员及其亲属相关的议题，有关人员须回避。</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w:t>
      </w:r>
      <w:r>
        <w:rPr>
          <w:rFonts w:hint="eastAsia" w:ascii="仿宋" w:hAnsi="仿宋" w:eastAsia="仿宋"/>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条  会议参加者要严守保密纪律，不得向外谈论和泄露会议讨论情况和尚未做出决定的议题。对做出决定的议题，在没有正式实施之前不得向外泄露。</w:t>
      </w:r>
    </w:p>
    <w:p>
      <w:pPr>
        <w:spacing w:line="48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w:t>
      </w:r>
      <w:r>
        <w:rPr>
          <w:rFonts w:hint="eastAsia" w:ascii="仿宋" w:hAnsi="仿宋" w:eastAsia="仿宋"/>
          <w:color w:val="000000" w:themeColor="text1"/>
          <w:sz w:val="32"/>
          <w:szCs w:val="32"/>
          <w:lang w:eastAsia="zh-CN"/>
          <w14:textFill>
            <w14:solidFill>
              <w14:schemeClr w14:val="tx1"/>
            </w14:solidFill>
          </w14:textFill>
        </w:rPr>
        <w:t>八</w:t>
      </w:r>
      <w:r>
        <w:rPr>
          <w:rFonts w:hint="eastAsia" w:ascii="仿宋" w:hAnsi="仿宋" w:eastAsia="仿宋"/>
          <w:color w:val="000000" w:themeColor="text1"/>
          <w:sz w:val="32"/>
          <w:szCs w:val="32"/>
          <w14:textFill>
            <w14:solidFill>
              <w14:schemeClr w14:val="tx1"/>
            </w14:solidFill>
          </w14:textFill>
        </w:rPr>
        <w:t>条  会议必须有专人负责记录，形成会议纪要，会议纪要由</w:t>
      </w:r>
      <w:r>
        <w:rPr>
          <w:rFonts w:hint="eastAsia" w:ascii="仿宋_GB2312" w:hAnsi="宋体" w:eastAsia="仿宋_GB2312"/>
          <w:kern w:val="0"/>
          <w:sz w:val="32"/>
          <w:szCs w:val="32"/>
        </w:rPr>
        <w:t>党组织书记、院长审定</w:t>
      </w:r>
      <w:r>
        <w:rPr>
          <w:rFonts w:hint="eastAsia" w:ascii="仿宋" w:hAnsi="仿宋" w:eastAsia="仿宋"/>
          <w:color w:val="000000" w:themeColor="text1"/>
          <w:sz w:val="32"/>
          <w:szCs w:val="32"/>
          <w14:textFill>
            <w14:solidFill>
              <w14:schemeClr w14:val="tx1"/>
            </w14:solidFill>
          </w14:textFill>
        </w:rPr>
        <w:t>，依有关规定公开并存档。《会议纪要》应送因故缺席人员审阅。</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第五章 决议执行与督办</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w:t>
      </w:r>
      <w:r>
        <w:rPr>
          <w:rFonts w:hint="eastAsia" w:ascii="仿宋" w:hAnsi="仿宋" w:eastAsia="仿宋"/>
          <w:color w:val="000000" w:themeColor="text1"/>
          <w:sz w:val="32"/>
          <w:szCs w:val="32"/>
          <w:lang w:eastAsia="zh-CN"/>
          <w14:textFill>
            <w14:solidFill>
              <w14:schemeClr w14:val="tx1"/>
            </w14:solidFill>
          </w14:textFill>
        </w:rPr>
        <w:t>九</w:t>
      </w:r>
      <w:r>
        <w:rPr>
          <w:rFonts w:hint="eastAsia" w:ascii="仿宋" w:hAnsi="仿宋" w:eastAsia="仿宋"/>
          <w:color w:val="000000" w:themeColor="text1"/>
          <w:sz w:val="32"/>
          <w:szCs w:val="32"/>
          <w14:textFill>
            <w14:solidFill>
              <w14:schemeClr w14:val="tx1"/>
            </w14:solidFill>
          </w14:textFill>
        </w:rPr>
        <w:t>条  凡经党政联席会议集体做出的决定，必须坚决贯彻执行，任何人无权擅自更改。个别有不同意见者，可以保留或向学校相关部门反映自己的意见，但行动上必须顾全大局，认真执行会议决定。</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十条  凡经党政联席会议决定的议题，由学院分管领导组织实施，并及时向党政联席会议通报实施情况。</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十</w:t>
      </w:r>
      <w:r>
        <w:rPr>
          <w:rFonts w:hint="eastAsia" w:ascii="仿宋" w:hAnsi="仿宋" w:eastAsia="仿宋"/>
          <w:color w:val="000000" w:themeColor="text1"/>
          <w:sz w:val="32"/>
          <w:szCs w:val="32"/>
          <w:lang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条  对会议决定的事项如需变更、调整，应根据决策程序进行复议。</w:t>
      </w:r>
    </w:p>
    <w:p>
      <w:pPr>
        <w:spacing w:line="48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0"/>
        </w:tabs>
        <w:spacing w:line="480" w:lineRule="exact"/>
        <w:jc w:val="center"/>
        <w:rPr>
          <w:rFonts w:ascii="仿宋" w:hAnsi="仿宋" w:eastAsia="仿宋" w:cs="黑体"/>
          <w:b/>
          <w:sz w:val="32"/>
          <w:szCs w:val="32"/>
        </w:rPr>
      </w:pPr>
      <w:r>
        <w:rPr>
          <w:rFonts w:hint="eastAsia" w:ascii="仿宋" w:hAnsi="仿宋" w:eastAsia="仿宋" w:cs="黑体"/>
          <w:b/>
          <w:sz w:val="32"/>
          <w:szCs w:val="32"/>
        </w:rPr>
        <w:t>第六章  附  则</w:t>
      </w:r>
    </w:p>
    <w:p>
      <w:pPr>
        <w:tabs>
          <w:tab w:val="left" w:pos="0"/>
        </w:tabs>
        <w:spacing w:line="480" w:lineRule="exact"/>
        <w:jc w:val="center"/>
        <w:rPr>
          <w:rFonts w:ascii="仿宋" w:hAnsi="仿宋" w:eastAsia="仿宋" w:cs="黑体"/>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w:t>
      </w: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条  党政联席会会议的通知、组织等会务工作由学院办公室负责。</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w:t>
      </w:r>
      <w:r>
        <w:rPr>
          <w:rFonts w:hint="eastAsia" w:ascii="仿宋" w:hAnsi="仿宋" w:eastAsia="仿宋"/>
          <w:sz w:val="32"/>
          <w:szCs w:val="32"/>
        </w:rPr>
        <w:t>十</w:t>
      </w:r>
      <w:r>
        <w:rPr>
          <w:rFonts w:hint="eastAsia" w:ascii="仿宋" w:hAnsi="仿宋" w:eastAsia="仿宋"/>
          <w:sz w:val="32"/>
          <w:szCs w:val="32"/>
          <w:lang w:eastAsia="zh-CN"/>
        </w:rPr>
        <w:t>三</w:t>
      </w:r>
      <w:r>
        <w:rPr>
          <w:rFonts w:hint="eastAsia" w:ascii="仿宋" w:hAnsi="仿宋" w:eastAsia="仿宋"/>
          <w:sz w:val="32"/>
          <w:szCs w:val="32"/>
        </w:rPr>
        <w:t>条  查阅党政联席会会议相关材料应当经学院办公室主任批准，重要议题的查阅应当报请党委书记、院长同意。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第三十</w:t>
      </w:r>
      <w:r>
        <w:rPr>
          <w:rFonts w:hint="eastAsia" w:ascii="仿宋" w:hAnsi="仿宋" w:eastAsia="仿宋"/>
          <w:sz w:val="32"/>
          <w:szCs w:val="32"/>
          <w:lang w:eastAsia="zh-CN"/>
        </w:rPr>
        <w:t>四</w:t>
      </w:r>
      <w:r>
        <w:rPr>
          <w:rFonts w:hint="eastAsia" w:ascii="仿宋" w:hAnsi="仿宋" w:eastAsia="仿宋"/>
          <w:sz w:val="32"/>
          <w:szCs w:val="32"/>
        </w:rPr>
        <w:t>条  本议事规则由学院党委负责解释。</w:t>
      </w:r>
    </w:p>
    <w:p>
      <w:pPr>
        <w:widowControl/>
        <w:spacing w:line="480" w:lineRule="exact"/>
        <w:ind w:firstLine="640" w:firstLineChars="200"/>
        <w:jc w:val="left"/>
        <w:rPr>
          <w:rFonts w:ascii="仿宋" w:hAnsi="仿宋" w:eastAsia="仿宋" w:cs="宋体"/>
          <w:color w:val="000000"/>
          <w:kern w:val="0"/>
          <w:sz w:val="32"/>
          <w:szCs w:val="32"/>
        </w:rPr>
      </w:pPr>
      <w:r>
        <w:rPr>
          <w:rFonts w:hint="eastAsia" w:ascii="仿宋" w:hAnsi="仿宋" w:eastAsia="仿宋"/>
          <w:sz w:val="32"/>
          <w:szCs w:val="32"/>
        </w:rPr>
        <w:t>第三十</w:t>
      </w:r>
      <w:r>
        <w:rPr>
          <w:rFonts w:hint="eastAsia" w:ascii="仿宋" w:hAnsi="仿宋" w:eastAsia="仿宋"/>
          <w:sz w:val="32"/>
          <w:szCs w:val="32"/>
          <w:lang w:eastAsia="zh-CN"/>
        </w:rPr>
        <w:t>五</w:t>
      </w:r>
      <w:r>
        <w:rPr>
          <w:rFonts w:hint="eastAsia" w:ascii="仿宋" w:hAnsi="仿宋" w:eastAsia="仿宋"/>
          <w:sz w:val="32"/>
          <w:szCs w:val="32"/>
        </w:rPr>
        <w:t>条  本议事规则自发布之日起执行。201</w:t>
      </w:r>
      <w:r>
        <w:rPr>
          <w:rFonts w:hint="eastAsia" w:ascii="仿宋" w:hAnsi="仿宋" w:eastAsia="仿宋"/>
          <w:sz w:val="32"/>
          <w:szCs w:val="32"/>
          <w:lang w:val="en-US" w:eastAsia="zh-CN"/>
        </w:rPr>
        <w:t>8</w:t>
      </w:r>
      <w:r>
        <w:rPr>
          <w:rFonts w:hint="eastAsia" w:ascii="仿宋" w:hAnsi="仿宋" w:eastAsia="仿宋"/>
          <w:sz w:val="32"/>
          <w:szCs w:val="32"/>
        </w:rPr>
        <w:t>年9月</w:t>
      </w:r>
      <w:r>
        <w:rPr>
          <w:rFonts w:hint="eastAsia" w:ascii="仿宋" w:hAnsi="仿宋" w:eastAsia="仿宋"/>
          <w:sz w:val="32"/>
          <w:szCs w:val="32"/>
          <w:lang w:val="en-US" w:eastAsia="zh-CN"/>
        </w:rPr>
        <w:t>30</w:t>
      </w:r>
      <w:r>
        <w:rPr>
          <w:rFonts w:hint="eastAsia" w:ascii="仿宋" w:hAnsi="仿宋" w:eastAsia="仿宋"/>
          <w:sz w:val="32"/>
          <w:szCs w:val="32"/>
        </w:rPr>
        <w:t>日发布的《体育教育训练学院党政联席会议议事规则》（首体</w:t>
      </w:r>
      <w:r>
        <w:rPr>
          <w:rFonts w:hint="eastAsia" w:ascii="仿宋" w:hAnsi="仿宋" w:eastAsia="仿宋" w:cs="宋体"/>
          <w:color w:val="000000"/>
          <w:kern w:val="0"/>
          <w:sz w:val="32"/>
          <w:szCs w:val="32"/>
        </w:rPr>
        <w:t>院体教党字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8</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号</w:t>
      </w:r>
      <w:r>
        <w:rPr>
          <w:rFonts w:hint="eastAsia" w:ascii="仿宋" w:hAnsi="仿宋" w:eastAsia="仿宋"/>
          <w:sz w:val="32"/>
          <w:szCs w:val="32"/>
        </w:rPr>
        <w:t>）同时废止。</w:t>
      </w:r>
    </w:p>
    <w:p>
      <w:pPr>
        <w:pStyle w:val="9"/>
        <w:spacing w:before="0" w:beforeAutospacing="0" w:after="0" w:afterAutospacing="0" w:line="480" w:lineRule="exact"/>
        <w:ind w:right="1120"/>
        <w:rPr>
          <w:rFonts w:hint="eastAsia" w:ascii="仿宋" w:hAnsi="仿宋" w:eastAsia="仿宋"/>
          <w:sz w:val="32"/>
          <w:szCs w:val="32"/>
        </w:rPr>
      </w:pPr>
    </w:p>
    <w:p>
      <w:pPr>
        <w:pStyle w:val="9"/>
        <w:spacing w:before="0" w:beforeAutospacing="0" w:after="0" w:afterAutospacing="0" w:line="480" w:lineRule="exact"/>
        <w:ind w:right="1120"/>
        <w:rPr>
          <w:rFonts w:hint="eastAsia" w:ascii="仿宋" w:hAnsi="仿宋" w:eastAsia="仿宋"/>
          <w:sz w:val="32"/>
          <w:szCs w:val="32"/>
        </w:rPr>
      </w:pPr>
    </w:p>
    <w:p>
      <w:pPr>
        <w:pStyle w:val="9"/>
        <w:spacing w:before="0" w:beforeAutospacing="0" w:after="0" w:afterAutospacing="0" w:line="480" w:lineRule="exact"/>
        <w:ind w:right="1120"/>
        <w:rPr>
          <w:rFonts w:ascii="仿宋" w:hAnsi="仿宋" w:eastAsia="仿宋"/>
          <w:sz w:val="32"/>
          <w:szCs w:val="32"/>
        </w:rPr>
      </w:pPr>
    </w:p>
    <w:p>
      <w:pPr>
        <w:spacing w:line="480" w:lineRule="exact"/>
        <w:ind w:firstLine="560" w:firstLineChars="200"/>
        <w:rPr>
          <w:rFonts w:ascii="仿宋" w:hAnsi="仿宋" w:eastAsia="仿宋"/>
          <w:sz w:val="32"/>
          <w:szCs w:val="32"/>
        </w:rPr>
      </w:pPr>
      <w:r>
        <w:rPr>
          <w:rFonts w:hint="eastAsia" w:ascii="宋体" w:hAnsi="宋体"/>
          <w:sz w:val="28"/>
          <w:szCs w:val="28"/>
        </w:rPr>
        <w:t xml:space="preserve">                             </w:t>
      </w:r>
      <w:r>
        <w:rPr>
          <w:rFonts w:hint="eastAsia" w:ascii="仿宋" w:hAnsi="仿宋" w:eastAsia="仿宋"/>
          <w:sz w:val="32"/>
          <w:szCs w:val="32"/>
        </w:rPr>
        <w:t>体育教育训练学院党委</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日修订</w:t>
      </w:r>
    </w:p>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2</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AB"/>
    <w:rsid w:val="00002168"/>
    <w:rsid w:val="000160E3"/>
    <w:rsid w:val="0001626C"/>
    <w:rsid w:val="0001712F"/>
    <w:rsid w:val="00017BD0"/>
    <w:rsid w:val="0002127C"/>
    <w:rsid w:val="0002497D"/>
    <w:rsid w:val="000304A1"/>
    <w:rsid w:val="00037C67"/>
    <w:rsid w:val="00040044"/>
    <w:rsid w:val="0004261D"/>
    <w:rsid w:val="000500E2"/>
    <w:rsid w:val="00060057"/>
    <w:rsid w:val="00065E0D"/>
    <w:rsid w:val="00075E8D"/>
    <w:rsid w:val="000772A0"/>
    <w:rsid w:val="0008469D"/>
    <w:rsid w:val="00091149"/>
    <w:rsid w:val="00097EB2"/>
    <w:rsid w:val="000A2772"/>
    <w:rsid w:val="000A30AB"/>
    <w:rsid w:val="000A5B3C"/>
    <w:rsid w:val="000A7299"/>
    <w:rsid w:val="000B1205"/>
    <w:rsid w:val="000B77A9"/>
    <w:rsid w:val="000B7D88"/>
    <w:rsid w:val="000D44A9"/>
    <w:rsid w:val="000E02C0"/>
    <w:rsid w:val="000E3514"/>
    <w:rsid w:val="000F0A29"/>
    <w:rsid w:val="000F3D0D"/>
    <w:rsid w:val="00103410"/>
    <w:rsid w:val="00120A5F"/>
    <w:rsid w:val="001216C2"/>
    <w:rsid w:val="00124F7A"/>
    <w:rsid w:val="00125420"/>
    <w:rsid w:val="00130CF8"/>
    <w:rsid w:val="0013265D"/>
    <w:rsid w:val="00134D0E"/>
    <w:rsid w:val="00140C27"/>
    <w:rsid w:val="0014182D"/>
    <w:rsid w:val="00143F35"/>
    <w:rsid w:val="00163606"/>
    <w:rsid w:val="001867A4"/>
    <w:rsid w:val="00192E07"/>
    <w:rsid w:val="001948A7"/>
    <w:rsid w:val="0019675D"/>
    <w:rsid w:val="001B43B1"/>
    <w:rsid w:val="001C17A7"/>
    <w:rsid w:val="001C70D2"/>
    <w:rsid w:val="001D2025"/>
    <w:rsid w:val="001D2533"/>
    <w:rsid w:val="001D641E"/>
    <w:rsid w:val="001D64AC"/>
    <w:rsid w:val="001D7DAD"/>
    <w:rsid w:val="001F0919"/>
    <w:rsid w:val="001F0AD9"/>
    <w:rsid w:val="001F2AAE"/>
    <w:rsid w:val="001F4E63"/>
    <w:rsid w:val="001F6DCD"/>
    <w:rsid w:val="001F7CB5"/>
    <w:rsid w:val="00210832"/>
    <w:rsid w:val="00215670"/>
    <w:rsid w:val="00217604"/>
    <w:rsid w:val="00224F46"/>
    <w:rsid w:val="00252204"/>
    <w:rsid w:val="00254B68"/>
    <w:rsid w:val="00255E7D"/>
    <w:rsid w:val="00255F54"/>
    <w:rsid w:val="00262AA0"/>
    <w:rsid w:val="00265A09"/>
    <w:rsid w:val="00273959"/>
    <w:rsid w:val="00274AEC"/>
    <w:rsid w:val="0028221F"/>
    <w:rsid w:val="00283CB2"/>
    <w:rsid w:val="00285885"/>
    <w:rsid w:val="00290511"/>
    <w:rsid w:val="002B5820"/>
    <w:rsid w:val="002B67EF"/>
    <w:rsid w:val="002C429A"/>
    <w:rsid w:val="002D4CE2"/>
    <w:rsid w:val="002E3C01"/>
    <w:rsid w:val="002E5A13"/>
    <w:rsid w:val="002F414A"/>
    <w:rsid w:val="002F4BB7"/>
    <w:rsid w:val="003101D9"/>
    <w:rsid w:val="00317011"/>
    <w:rsid w:val="003539D1"/>
    <w:rsid w:val="0036449B"/>
    <w:rsid w:val="00365C20"/>
    <w:rsid w:val="003827AB"/>
    <w:rsid w:val="0038290D"/>
    <w:rsid w:val="00385F54"/>
    <w:rsid w:val="003910F5"/>
    <w:rsid w:val="00392C28"/>
    <w:rsid w:val="00395FD3"/>
    <w:rsid w:val="003B23AB"/>
    <w:rsid w:val="003C62C6"/>
    <w:rsid w:val="003D18FE"/>
    <w:rsid w:val="003D6594"/>
    <w:rsid w:val="003E1B68"/>
    <w:rsid w:val="003E2B1C"/>
    <w:rsid w:val="003E2CD6"/>
    <w:rsid w:val="003E3860"/>
    <w:rsid w:val="003E4B80"/>
    <w:rsid w:val="003E65BF"/>
    <w:rsid w:val="00412401"/>
    <w:rsid w:val="00413BCA"/>
    <w:rsid w:val="00416CF4"/>
    <w:rsid w:val="0042310F"/>
    <w:rsid w:val="00424C50"/>
    <w:rsid w:val="004252DC"/>
    <w:rsid w:val="00434A37"/>
    <w:rsid w:val="00437320"/>
    <w:rsid w:val="00441D18"/>
    <w:rsid w:val="00451F96"/>
    <w:rsid w:val="004613DE"/>
    <w:rsid w:val="004727FD"/>
    <w:rsid w:val="00472C3A"/>
    <w:rsid w:val="004770AA"/>
    <w:rsid w:val="00493653"/>
    <w:rsid w:val="00494022"/>
    <w:rsid w:val="004A06DE"/>
    <w:rsid w:val="004A2013"/>
    <w:rsid w:val="004A3E7C"/>
    <w:rsid w:val="004D55D9"/>
    <w:rsid w:val="004E436B"/>
    <w:rsid w:val="004E6618"/>
    <w:rsid w:val="004F6457"/>
    <w:rsid w:val="004F66C5"/>
    <w:rsid w:val="005027A9"/>
    <w:rsid w:val="0050462C"/>
    <w:rsid w:val="00506B03"/>
    <w:rsid w:val="0051035B"/>
    <w:rsid w:val="00515974"/>
    <w:rsid w:val="00517C13"/>
    <w:rsid w:val="00517D2F"/>
    <w:rsid w:val="00543D86"/>
    <w:rsid w:val="00561FFB"/>
    <w:rsid w:val="00564A44"/>
    <w:rsid w:val="00583AFA"/>
    <w:rsid w:val="005B1350"/>
    <w:rsid w:val="005B312B"/>
    <w:rsid w:val="005B7F13"/>
    <w:rsid w:val="005C539F"/>
    <w:rsid w:val="005C5FDB"/>
    <w:rsid w:val="005C6C1D"/>
    <w:rsid w:val="005D03E0"/>
    <w:rsid w:val="005D4590"/>
    <w:rsid w:val="005F1A91"/>
    <w:rsid w:val="005F67C5"/>
    <w:rsid w:val="00604754"/>
    <w:rsid w:val="0061363C"/>
    <w:rsid w:val="00617C1F"/>
    <w:rsid w:val="00625F8D"/>
    <w:rsid w:val="0062711B"/>
    <w:rsid w:val="0063079F"/>
    <w:rsid w:val="00632E95"/>
    <w:rsid w:val="00641025"/>
    <w:rsid w:val="006507B7"/>
    <w:rsid w:val="00651D18"/>
    <w:rsid w:val="006651CD"/>
    <w:rsid w:val="00671CB3"/>
    <w:rsid w:val="006723BC"/>
    <w:rsid w:val="00672958"/>
    <w:rsid w:val="00676640"/>
    <w:rsid w:val="00696E74"/>
    <w:rsid w:val="006A5419"/>
    <w:rsid w:val="006B0DE2"/>
    <w:rsid w:val="006B33E8"/>
    <w:rsid w:val="006B4D75"/>
    <w:rsid w:val="006C52AB"/>
    <w:rsid w:val="006E0FC6"/>
    <w:rsid w:val="006E5594"/>
    <w:rsid w:val="006F0549"/>
    <w:rsid w:val="006F6270"/>
    <w:rsid w:val="00700AD4"/>
    <w:rsid w:val="00707547"/>
    <w:rsid w:val="00714407"/>
    <w:rsid w:val="00714E85"/>
    <w:rsid w:val="00724E52"/>
    <w:rsid w:val="0073164E"/>
    <w:rsid w:val="00765A26"/>
    <w:rsid w:val="007856F8"/>
    <w:rsid w:val="00791DA4"/>
    <w:rsid w:val="00796311"/>
    <w:rsid w:val="007B4260"/>
    <w:rsid w:val="007F0764"/>
    <w:rsid w:val="007F3CF9"/>
    <w:rsid w:val="007F68BD"/>
    <w:rsid w:val="007F7135"/>
    <w:rsid w:val="00803AC1"/>
    <w:rsid w:val="008043A3"/>
    <w:rsid w:val="0082037D"/>
    <w:rsid w:val="008229C3"/>
    <w:rsid w:val="00824701"/>
    <w:rsid w:val="00825413"/>
    <w:rsid w:val="00844EAF"/>
    <w:rsid w:val="00854EE4"/>
    <w:rsid w:val="00856D43"/>
    <w:rsid w:val="008605D2"/>
    <w:rsid w:val="008619C3"/>
    <w:rsid w:val="00864AC5"/>
    <w:rsid w:val="008729A7"/>
    <w:rsid w:val="008774F6"/>
    <w:rsid w:val="008846C9"/>
    <w:rsid w:val="008A35AA"/>
    <w:rsid w:val="008A3E1A"/>
    <w:rsid w:val="008A7295"/>
    <w:rsid w:val="008B0725"/>
    <w:rsid w:val="008B5B90"/>
    <w:rsid w:val="008B6EB5"/>
    <w:rsid w:val="008B7678"/>
    <w:rsid w:val="008D44AD"/>
    <w:rsid w:val="008E2510"/>
    <w:rsid w:val="008E65E4"/>
    <w:rsid w:val="008E7DEE"/>
    <w:rsid w:val="00905CEB"/>
    <w:rsid w:val="009078C9"/>
    <w:rsid w:val="00912C7D"/>
    <w:rsid w:val="0092123E"/>
    <w:rsid w:val="00934F45"/>
    <w:rsid w:val="009447A6"/>
    <w:rsid w:val="00950DC3"/>
    <w:rsid w:val="00950E7A"/>
    <w:rsid w:val="00965780"/>
    <w:rsid w:val="0097213D"/>
    <w:rsid w:val="009744C6"/>
    <w:rsid w:val="0097653A"/>
    <w:rsid w:val="00976F6F"/>
    <w:rsid w:val="00991882"/>
    <w:rsid w:val="009A3682"/>
    <w:rsid w:val="009B2A81"/>
    <w:rsid w:val="009C2650"/>
    <w:rsid w:val="009C5399"/>
    <w:rsid w:val="009C6879"/>
    <w:rsid w:val="009D4748"/>
    <w:rsid w:val="009D79AB"/>
    <w:rsid w:val="009E2165"/>
    <w:rsid w:val="009E2854"/>
    <w:rsid w:val="009E5BA6"/>
    <w:rsid w:val="00A01949"/>
    <w:rsid w:val="00A053B1"/>
    <w:rsid w:val="00A23A91"/>
    <w:rsid w:val="00A24C5B"/>
    <w:rsid w:val="00A25F0B"/>
    <w:rsid w:val="00A43DDA"/>
    <w:rsid w:val="00A452E0"/>
    <w:rsid w:val="00A50494"/>
    <w:rsid w:val="00A522F9"/>
    <w:rsid w:val="00A56190"/>
    <w:rsid w:val="00A577D0"/>
    <w:rsid w:val="00A61285"/>
    <w:rsid w:val="00A6212E"/>
    <w:rsid w:val="00A625EF"/>
    <w:rsid w:val="00A62BC0"/>
    <w:rsid w:val="00A70748"/>
    <w:rsid w:val="00A71AC2"/>
    <w:rsid w:val="00A71BB7"/>
    <w:rsid w:val="00A839FD"/>
    <w:rsid w:val="00AC5174"/>
    <w:rsid w:val="00AC6D35"/>
    <w:rsid w:val="00AC74F9"/>
    <w:rsid w:val="00AE1A23"/>
    <w:rsid w:val="00AE30F6"/>
    <w:rsid w:val="00AE4CAF"/>
    <w:rsid w:val="00AE7818"/>
    <w:rsid w:val="00AF138D"/>
    <w:rsid w:val="00AF79C5"/>
    <w:rsid w:val="00B34474"/>
    <w:rsid w:val="00B44C58"/>
    <w:rsid w:val="00B62494"/>
    <w:rsid w:val="00B63419"/>
    <w:rsid w:val="00B64518"/>
    <w:rsid w:val="00B64B3E"/>
    <w:rsid w:val="00B664D8"/>
    <w:rsid w:val="00B709A2"/>
    <w:rsid w:val="00B729C2"/>
    <w:rsid w:val="00B74422"/>
    <w:rsid w:val="00B752EB"/>
    <w:rsid w:val="00B76371"/>
    <w:rsid w:val="00B771DF"/>
    <w:rsid w:val="00B915B9"/>
    <w:rsid w:val="00BA0752"/>
    <w:rsid w:val="00BA1BB0"/>
    <w:rsid w:val="00BA3CBC"/>
    <w:rsid w:val="00BA5895"/>
    <w:rsid w:val="00BB22C0"/>
    <w:rsid w:val="00BB6C38"/>
    <w:rsid w:val="00BC644F"/>
    <w:rsid w:val="00BD361F"/>
    <w:rsid w:val="00C01BD8"/>
    <w:rsid w:val="00C046B8"/>
    <w:rsid w:val="00C209BD"/>
    <w:rsid w:val="00C21512"/>
    <w:rsid w:val="00C22E03"/>
    <w:rsid w:val="00C31C39"/>
    <w:rsid w:val="00C37319"/>
    <w:rsid w:val="00C4629C"/>
    <w:rsid w:val="00C60BD5"/>
    <w:rsid w:val="00C65754"/>
    <w:rsid w:val="00C80D2C"/>
    <w:rsid w:val="00C84FA6"/>
    <w:rsid w:val="00C86DEA"/>
    <w:rsid w:val="00C963F4"/>
    <w:rsid w:val="00CA2926"/>
    <w:rsid w:val="00CA2EA1"/>
    <w:rsid w:val="00CA5B2F"/>
    <w:rsid w:val="00CB5FCE"/>
    <w:rsid w:val="00CC09FC"/>
    <w:rsid w:val="00CC3DBA"/>
    <w:rsid w:val="00CC509A"/>
    <w:rsid w:val="00CE023E"/>
    <w:rsid w:val="00CE7A92"/>
    <w:rsid w:val="00CF09FD"/>
    <w:rsid w:val="00CF27A1"/>
    <w:rsid w:val="00CF623B"/>
    <w:rsid w:val="00D0159B"/>
    <w:rsid w:val="00D023B9"/>
    <w:rsid w:val="00D0682D"/>
    <w:rsid w:val="00D11473"/>
    <w:rsid w:val="00D141D0"/>
    <w:rsid w:val="00D20352"/>
    <w:rsid w:val="00D20B89"/>
    <w:rsid w:val="00D24142"/>
    <w:rsid w:val="00D273E1"/>
    <w:rsid w:val="00D3299B"/>
    <w:rsid w:val="00D35E1E"/>
    <w:rsid w:val="00D4668E"/>
    <w:rsid w:val="00D53F4B"/>
    <w:rsid w:val="00D56E85"/>
    <w:rsid w:val="00D644A7"/>
    <w:rsid w:val="00D767DB"/>
    <w:rsid w:val="00D76C28"/>
    <w:rsid w:val="00D82C76"/>
    <w:rsid w:val="00D84309"/>
    <w:rsid w:val="00D85140"/>
    <w:rsid w:val="00D87B9D"/>
    <w:rsid w:val="00D91B26"/>
    <w:rsid w:val="00D963E7"/>
    <w:rsid w:val="00DA77AE"/>
    <w:rsid w:val="00DC076D"/>
    <w:rsid w:val="00DD2E5A"/>
    <w:rsid w:val="00DD3D3F"/>
    <w:rsid w:val="00DD46B3"/>
    <w:rsid w:val="00DD4812"/>
    <w:rsid w:val="00DD5974"/>
    <w:rsid w:val="00DE0191"/>
    <w:rsid w:val="00DF2BB8"/>
    <w:rsid w:val="00DF6FCA"/>
    <w:rsid w:val="00E0574A"/>
    <w:rsid w:val="00E06C97"/>
    <w:rsid w:val="00E44B9F"/>
    <w:rsid w:val="00E45B37"/>
    <w:rsid w:val="00E536CF"/>
    <w:rsid w:val="00E613A1"/>
    <w:rsid w:val="00E61FED"/>
    <w:rsid w:val="00E632CB"/>
    <w:rsid w:val="00E662CE"/>
    <w:rsid w:val="00E77631"/>
    <w:rsid w:val="00E857BB"/>
    <w:rsid w:val="00E87D41"/>
    <w:rsid w:val="00EB221D"/>
    <w:rsid w:val="00EB38DE"/>
    <w:rsid w:val="00EC0D33"/>
    <w:rsid w:val="00EC7464"/>
    <w:rsid w:val="00EC7556"/>
    <w:rsid w:val="00ED3C0C"/>
    <w:rsid w:val="00ED4F10"/>
    <w:rsid w:val="00ED6A58"/>
    <w:rsid w:val="00EE40A0"/>
    <w:rsid w:val="00EF03D4"/>
    <w:rsid w:val="00EF16FD"/>
    <w:rsid w:val="00F03587"/>
    <w:rsid w:val="00F14645"/>
    <w:rsid w:val="00F25A12"/>
    <w:rsid w:val="00F31AF2"/>
    <w:rsid w:val="00F344B5"/>
    <w:rsid w:val="00F35E0A"/>
    <w:rsid w:val="00F37604"/>
    <w:rsid w:val="00F42ADB"/>
    <w:rsid w:val="00F60C01"/>
    <w:rsid w:val="00F64BAC"/>
    <w:rsid w:val="00F65E71"/>
    <w:rsid w:val="00F7358B"/>
    <w:rsid w:val="00F74CF6"/>
    <w:rsid w:val="00F76D99"/>
    <w:rsid w:val="00F77200"/>
    <w:rsid w:val="00F816A2"/>
    <w:rsid w:val="00F86C21"/>
    <w:rsid w:val="00F94919"/>
    <w:rsid w:val="00F96529"/>
    <w:rsid w:val="00FB35EC"/>
    <w:rsid w:val="00FB7D3A"/>
    <w:rsid w:val="00FC502B"/>
    <w:rsid w:val="00FC6310"/>
    <w:rsid w:val="00FE3EE7"/>
    <w:rsid w:val="00FE3FF6"/>
    <w:rsid w:val="00FE599A"/>
    <w:rsid w:val="00FF0471"/>
    <w:rsid w:val="01A710F9"/>
    <w:rsid w:val="0D262AFE"/>
    <w:rsid w:val="15BD6FC4"/>
    <w:rsid w:val="16520972"/>
    <w:rsid w:val="1A00791F"/>
    <w:rsid w:val="1F881F58"/>
    <w:rsid w:val="24DE5C93"/>
    <w:rsid w:val="255723BF"/>
    <w:rsid w:val="2B115BC6"/>
    <w:rsid w:val="3759409F"/>
    <w:rsid w:val="3C0A5DB0"/>
    <w:rsid w:val="42896E50"/>
    <w:rsid w:val="428F025B"/>
    <w:rsid w:val="47207ADB"/>
    <w:rsid w:val="52DB181E"/>
    <w:rsid w:val="5B906B24"/>
    <w:rsid w:val="5E9274CA"/>
    <w:rsid w:val="6A5E3C34"/>
    <w:rsid w:val="6C307592"/>
    <w:rsid w:val="778E143B"/>
    <w:rsid w:val="78907663"/>
    <w:rsid w:val="7F481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semiHidden/>
    <w:unhideWhenUsed/>
    <w:qFormat/>
    <w:uiPriority w:val="99"/>
    <w:pPr>
      <w:spacing w:after="120"/>
    </w:pPr>
  </w:style>
  <w:style w:type="paragraph" w:styleId="3">
    <w:name w:val="Body Text Indent"/>
    <w:basedOn w:val="1"/>
    <w:link w:val="21"/>
    <w:semiHidden/>
    <w:unhideWhenUsed/>
    <w:qFormat/>
    <w:uiPriority w:val="0"/>
    <w:pPr>
      <w:ind w:firstLine="645"/>
    </w:pPr>
    <w:rPr>
      <w:rFonts w:ascii="仿宋_GB2312" w:hAnsi="Times New Roman" w:eastAsia="仿宋_GB2312"/>
      <w:sz w:val="32"/>
      <w:szCs w:val="20"/>
    </w:rPr>
  </w:style>
  <w:style w:type="paragraph" w:styleId="4">
    <w:name w:val="Date"/>
    <w:basedOn w:val="1"/>
    <w:next w:val="1"/>
    <w:link w:val="24"/>
    <w:semiHidden/>
    <w:unhideWhenUsed/>
    <w:qFormat/>
    <w:uiPriority w:val="99"/>
    <w:pPr>
      <w:ind w:left="100" w:leftChars="2500"/>
    </w:pPr>
  </w:style>
  <w:style w:type="paragraph" w:styleId="5">
    <w:name w:val="Body Text Indent 2"/>
    <w:basedOn w:val="1"/>
    <w:link w:val="25"/>
    <w:semiHidden/>
    <w:unhideWhenUsed/>
    <w:qFormat/>
    <w:uiPriority w:val="99"/>
    <w:pPr>
      <w:spacing w:after="120" w:line="480" w:lineRule="auto"/>
      <w:ind w:left="420" w:leftChars="200"/>
    </w:pPr>
  </w:style>
  <w:style w:type="paragraph" w:styleId="6">
    <w:name w:val="Balloon Text"/>
    <w:basedOn w:val="1"/>
    <w:link w:val="22"/>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paragraph" w:styleId="15">
    <w:name w:val="List Paragraph"/>
    <w:basedOn w:val="1"/>
    <w:qFormat/>
    <w:uiPriority w:val="0"/>
    <w:pPr>
      <w:ind w:firstLine="420" w:firstLineChars="200"/>
    </w:pPr>
  </w:style>
  <w:style w:type="character" w:customStyle="1" w:styleId="16">
    <w:name w:val="页眉 Char"/>
    <w:basedOn w:val="12"/>
    <w:link w:val="8"/>
    <w:qFormat/>
    <w:uiPriority w:val="0"/>
    <w:rPr>
      <w:sz w:val="18"/>
      <w:szCs w:val="18"/>
    </w:rPr>
  </w:style>
  <w:style w:type="character" w:customStyle="1" w:styleId="17">
    <w:name w:val="页脚 Char"/>
    <w:basedOn w:val="12"/>
    <w:link w:val="7"/>
    <w:qFormat/>
    <w:uiPriority w:val="0"/>
    <w:rPr>
      <w:sz w:val="18"/>
      <w:szCs w:val="18"/>
    </w:rPr>
  </w:style>
  <w:style w:type="character" w:customStyle="1" w:styleId="18">
    <w:name w:val="style71"/>
    <w:qFormat/>
    <w:uiPriority w:val="0"/>
    <w:rPr>
      <w:sz w:val="20"/>
      <w:szCs w:val="20"/>
    </w:rPr>
  </w:style>
  <w:style w:type="paragraph" w:customStyle="1" w:styleId="19">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1">
    <w:name w:val="正文文本缩进 Char"/>
    <w:basedOn w:val="12"/>
    <w:link w:val="3"/>
    <w:semiHidden/>
    <w:qFormat/>
    <w:uiPriority w:val="0"/>
    <w:rPr>
      <w:rFonts w:ascii="仿宋_GB2312" w:hAnsi="Times New Roman" w:eastAsia="仿宋_GB2312" w:cs="Times New Roman"/>
      <w:sz w:val="32"/>
      <w:szCs w:val="20"/>
    </w:rPr>
  </w:style>
  <w:style w:type="character" w:customStyle="1" w:styleId="22">
    <w:name w:val="批注框文本 Char"/>
    <w:basedOn w:val="12"/>
    <w:link w:val="6"/>
    <w:semiHidden/>
    <w:qFormat/>
    <w:uiPriority w:val="99"/>
    <w:rPr>
      <w:rFonts w:ascii="Calibri" w:hAnsi="Calibri" w:eastAsia="宋体" w:cs="Times New Roman"/>
      <w:sz w:val="18"/>
      <w:szCs w:val="18"/>
    </w:rPr>
  </w:style>
  <w:style w:type="character" w:customStyle="1" w:styleId="23">
    <w:name w:val="正文文本 Char"/>
    <w:basedOn w:val="12"/>
    <w:link w:val="2"/>
    <w:semiHidden/>
    <w:qFormat/>
    <w:uiPriority w:val="99"/>
    <w:rPr>
      <w:rFonts w:ascii="Calibri" w:hAnsi="Calibri" w:eastAsia="宋体" w:cs="Times New Roman"/>
    </w:rPr>
  </w:style>
  <w:style w:type="character" w:customStyle="1" w:styleId="24">
    <w:name w:val="日期 Char"/>
    <w:basedOn w:val="12"/>
    <w:link w:val="4"/>
    <w:semiHidden/>
    <w:qFormat/>
    <w:uiPriority w:val="99"/>
    <w:rPr>
      <w:rFonts w:ascii="Calibri" w:hAnsi="Calibri" w:eastAsia="宋体" w:cs="Times New Roman"/>
    </w:rPr>
  </w:style>
  <w:style w:type="character" w:customStyle="1" w:styleId="25">
    <w:name w:val="正文文本缩进 2 Char"/>
    <w:basedOn w:val="12"/>
    <w:link w:val="5"/>
    <w:semiHidden/>
    <w:qFormat/>
    <w:uiPriority w:val="99"/>
    <w:rPr>
      <w:rFonts w:ascii="Calibri" w:hAnsi="Calibri" w:eastAsia="宋体" w:cs="Times New Roman"/>
    </w:rPr>
  </w:style>
  <w:style w:type="character" w:customStyle="1" w:styleId="26">
    <w:name w:val="131"/>
    <w:qFormat/>
    <w:uiPriority w:val="0"/>
    <w:rPr>
      <w:sz w:val="21"/>
      <w:szCs w:val="21"/>
    </w:rPr>
  </w:style>
  <w:style w:type="character" w:customStyle="1" w:styleId="27">
    <w:name w:val="hei141"/>
    <w:basedOn w:val="12"/>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318</Words>
  <Characters>1819</Characters>
  <Lines>15</Lines>
  <Paragraphs>4</Paragraphs>
  <TotalTime>0</TotalTime>
  <ScaleCrop>false</ScaleCrop>
  <LinksUpToDate>false</LinksUpToDate>
  <CharactersWithSpaces>2133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2018-10-09T02:52:00Z</dcterms:created>
  <dc:creator>zrx</dc:creator>
  <cp:lastModifiedBy>Bing</cp:lastModifiedBy>
  <cp:lastPrinted>2017-07-11T05:03:00Z</cp:lastPrinted>
  <dcterms:modified xsi:type="dcterms:W3CDTF">2020-09-16T09:07:01Z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